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2">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spacing w:line="360" w:lineRule="auto"/>
        <w:jc w:val="both"/>
        <w:rPr>
          <w:rFonts w:ascii="Times New Roman" w:cs="Times New Roman" w:eastAsia="Times New Roman" w:hAnsi="Times New Roman"/>
        </w:rPr>
      </w:pPr>
      <w:r w:rsidDel="00000000" w:rsidR="00000000" w:rsidRPr="00000000">
        <w:rPr>
          <w:rtl w:val="0"/>
        </w:rPr>
      </w:r>
    </w:p>
    <w:tbl>
      <w:tblPr>
        <w:tblStyle w:val="Table1"/>
        <w:tblpPr w:leftFromText="180" w:rightFromText="180" w:topFromText="180" w:bottomFromText="180" w:vertAnchor="margin" w:horzAnchor="margin" w:tblpXSpec="center" w:tblpYSpec="center"/>
        <w:tblW w:w="11415.0" w:type="dxa"/>
        <w:jc w:val="center"/>
        <w:tblInd w:w="-79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780"/>
        <w:gridCol w:w="1350"/>
        <w:gridCol w:w="735"/>
        <w:gridCol w:w="1455"/>
        <w:gridCol w:w="960"/>
        <w:gridCol w:w="720"/>
        <w:gridCol w:w="900"/>
        <w:tblGridChange w:id="0">
          <w:tblGrid>
            <w:gridCol w:w="1515"/>
            <w:gridCol w:w="3780"/>
            <w:gridCol w:w="1350"/>
            <w:gridCol w:w="735"/>
            <w:gridCol w:w="1455"/>
            <w:gridCol w:w="960"/>
            <w:gridCol w:w="720"/>
            <w:gridCol w:w="900"/>
          </w:tblGrid>
        </w:tblGridChange>
      </w:tblGrid>
      <w:tr>
        <w:trPr>
          <w:cantSplit w:val="0"/>
          <w:trHeight w:val="585" w:hRule="atLeast"/>
          <w:tblHeader w:val="0"/>
        </w:trPr>
        <w:tc>
          <w:tcPr>
            <w:gridSpan w:val="2"/>
            <w:tcBorders>
              <w:top w:color="000000" w:space="0" w:sz="5" w:val="single"/>
              <w:left w:color="000000" w:space="0" w:sz="0" w:val="nil"/>
              <w:bottom w:color="000000" w:space="0" w:sz="10"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05">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Antibody</w:t>
            </w:r>
            <w:r w:rsidDel="00000000" w:rsidR="00000000" w:rsidRPr="00000000">
              <w:rPr>
                <w:rtl w:val="0"/>
              </w:rPr>
            </w:r>
          </w:p>
        </w:tc>
        <w:tc>
          <w:tcPr>
            <w:tcBorders>
              <w:top w:color="000000" w:space="0" w:sz="5" w:val="single"/>
              <w:left w:color="000000" w:space="0" w:sz="0" w:val="nil"/>
              <w:bottom w:color="000000" w:space="0" w:sz="10"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07">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Fluorochrome</w:t>
            </w:r>
            <w:r w:rsidDel="00000000" w:rsidR="00000000" w:rsidRPr="00000000">
              <w:rPr>
                <w:rtl w:val="0"/>
              </w:rPr>
            </w:r>
          </w:p>
        </w:tc>
        <w:tc>
          <w:tcPr>
            <w:tcBorders>
              <w:top w:color="000000" w:space="0" w:sz="5" w:val="single"/>
              <w:left w:color="000000" w:space="0" w:sz="0" w:val="nil"/>
              <w:bottom w:color="000000" w:space="0" w:sz="10"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08">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Clone</w:t>
            </w:r>
            <w:r w:rsidDel="00000000" w:rsidR="00000000" w:rsidRPr="00000000">
              <w:rPr>
                <w:rtl w:val="0"/>
              </w:rPr>
            </w:r>
          </w:p>
        </w:tc>
        <w:tc>
          <w:tcPr>
            <w:tcBorders>
              <w:top w:color="000000" w:space="0" w:sz="5" w:val="single"/>
              <w:left w:color="000000" w:space="0" w:sz="0" w:val="nil"/>
              <w:bottom w:color="000000" w:space="0" w:sz="10"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09">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Source</w:t>
            </w:r>
            <w:r w:rsidDel="00000000" w:rsidR="00000000" w:rsidRPr="00000000">
              <w:rPr>
                <w:rtl w:val="0"/>
              </w:rPr>
            </w:r>
          </w:p>
        </w:tc>
        <w:tc>
          <w:tcPr>
            <w:tcBorders>
              <w:top w:color="000000" w:space="0" w:sz="5" w:val="single"/>
              <w:left w:color="000000" w:space="0" w:sz="0" w:val="nil"/>
              <w:bottom w:color="000000" w:space="0" w:sz="10"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0A">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Identifier</w:t>
            </w:r>
            <w:r w:rsidDel="00000000" w:rsidR="00000000" w:rsidRPr="00000000">
              <w:rPr>
                <w:rtl w:val="0"/>
              </w:rPr>
            </w:r>
          </w:p>
        </w:tc>
        <w:tc>
          <w:tcPr>
            <w:tcBorders>
              <w:top w:color="000000" w:space="0" w:sz="5" w:val="single"/>
              <w:left w:color="000000" w:space="0" w:sz="0" w:val="nil"/>
              <w:bottom w:color="000000" w:space="0" w:sz="10"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0B">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 Panel</w:t>
            </w:r>
            <w:r w:rsidDel="00000000" w:rsidR="00000000" w:rsidRPr="00000000">
              <w:rPr>
                <w:rtl w:val="0"/>
              </w:rPr>
            </w:r>
          </w:p>
        </w:tc>
        <w:tc>
          <w:tcPr>
            <w:tcBorders>
              <w:top w:color="000000" w:space="0" w:sz="5" w:val="single"/>
              <w:left w:color="000000" w:space="0" w:sz="0" w:val="nil"/>
              <w:bottom w:color="000000" w:space="0" w:sz="10"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0C">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Volume</w:t>
            </w:r>
            <w:r w:rsidDel="00000000" w:rsidR="00000000" w:rsidRPr="00000000">
              <w:rPr>
                <w:rtl w:val="0"/>
              </w:rPr>
            </w:r>
          </w:p>
        </w:tc>
      </w:tr>
      <w:tr>
        <w:trPr>
          <w:cantSplit w:val="0"/>
          <w:trHeight w:val="330" w:hRule="atLeast"/>
          <w:tblHeader w:val="0"/>
        </w:trPr>
        <w:tc>
          <w:tcPr>
            <w:tcBorders>
              <w:top w:color="000000" w:space="0" w:sz="10" w:val="single"/>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0D">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CD45</w:t>
            </w:r>
          </w:p>
        </w:tc>
        <w:tc>
          <w:tcPr>
            <w:tcBorders>
              <w:top w:color="000000" w:space="0" w:sz="10" w:val="single"/>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0E">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Multitest</w:t>
            </w:r>
          </w:p>
        </w:tc>
        <w:tc>
          <w:tcPr>
            <w:tcBorders>
              <w:top w:color="000000" w:space="0" w:sz="10" w:val="single"/>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0F">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PerCP</w:t>
            </w:r>
          </w:p>
        </w:tc>
        <w:tc>
          <w:tcPr>
            <w:tcBorders>
              <w:top w:color="000000" w:space="0" w:sz="10" w:val="single"/>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0">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2D1</w:t>
            </w:r>
          </w:p>
        </w:tc>
        <w:tc>
          <w:tcPr>
            <w:tcBorders>
              <w:top w:color="000000" w:space="0" w:sz="10" w:val="single"/>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1">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Biosciences</w:t>
            </w:r>
          </w:p>
        </w:tc>
        <w:tc>
          <w:tcPr>
            <w:tcBorders>
              <w:top w:color="000000" w:space="0" w:sz="10" w:val="single"/>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2">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340499</w:t>
            </w:r>
          </w:p>
        </w:tc>
        <w:tc>
          <w:tcPr>
            <w:tcBorders>
              <w:top w:color="000000" w:space="0" w:sz="10" w:val="single"/>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3">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and 2</w:t>
            </w:r>
          </w:p>
        </w:tc>
        <w:tc>
          <w:tcPr>
            <w:vMerge w:val="restart"/>
            <w:tcBorders>
              <w:top w:color="000000" w:space="0" w:sz="10" w:val="single"/>
              <w:left w:color="000000" w:space="0" w:sz="0" w:val="nil"/>
              <w:bottom w:color="000000" w:space="0" w:sz="0" w:val="nil"/>
              <w:right w:color="000000" w:space="0" w:sz="0" w:val="nil"/>
            </w:tcBorders>
            <w:tcMar>
              <w:top w:w="40.0" w:type="dxa"/>
              <w:left w:w="40.0" w:type="dxa"/>
              <w:bottom w:w="40.0" w:type="dxa"/>
              <w:right w:w="40.0" w:type="dxa"/>
            </w:tcMar>
            <w:vAlign w:val="center"/>
          </w:tcPr>
          <w:p w:rsidR="00000000" w:rsidDel="00000000" w:rsidP="00000000" w:rsidRDefault="00000000" w:rsidRPr="00000000" w14:paraId="00000014">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μL</w:t>
            </w:r>
          </w:p>
        </w:tc>
      </w:tr>
      <w:tr>
        <w:trPr>
          <w:cantSplit w:val="0"/>
          <w:trHeight w:val="330" w:hRule="atLeast"/>
          <w:tblHeader w:val="0"/>
        </w:trPr>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5">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CD3</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6">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Multitest</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7">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FITC</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8">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SK7</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9">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Biosciences</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A">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340499</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B">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and 2</w:t>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C">
            <w:pPr>
              <w:widowControl w:val="0"/>
              <w:spacing w:line="360" w:lineRule="auto"/>
              <w:rPr>
                <w:rFonts w:ascii="Times New Roman" w:cs="Times New Roman" w:eastAsia="Times New Roman" w:hAnsi="Times New Roman"/>
              </w:rPr>
            </w:pPr>
            <w:r w:rsidDel="00000000" w:rsidR="00000000" w:rsidRPr="00000000">
              <w:rPr>
                <w:rtl w:val="0"/>
              </w:rPr>
            </w:r>
          </w:p>
        </w:tc>
      </w:tr>
      <w:tr>
        <w:trPr>
          <w:cantSplit w:val="0"/>
          <w:trHeight w:val="330" w:hRule="atLeast"/>
          <w:tblHeader w:val="0"/>
        </w:trPr>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D">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CD4</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E">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Multitest</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1F">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APC</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0">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SK3</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1">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Biosciences</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2">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340499</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3">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and 2</w:t>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4">
            <w:pPr>
              <w:widowControl w:val="0"/>
              <w:spacing w:line="360" w:lineRule="auto"/>
              <w:rPr>
                <w:rFonts w:ascii="Times New Roman" w:cs="Times New Roman" w:eastAsia="Times New Roman" w:hAnsi="Times New Roman"/>
              </w:rPr>
            </w:pPr>
            <w:r w:rsidDel="00000000" w:rsidR="00000000" w:rsidRPr="00000000">
              <w:rPr>
                <w:rtl w:val="0"/>
              </w:rPr>
            </w:r>
          </w:p>
        </w:tc>
      </w:tr>
      <w:tr>
        <w:trPr>
          <w:cantSplit w:val="0"/>
          <w:trHeight w:val="89.99999999999989" w:hRule="atLeast"/>
          <w:tblHeader w:val="0"/>
        </w:trPr>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5">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CD8</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6">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Multitest</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7">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8">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SK1</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9">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Biosciences</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A">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340499</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B">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and 2</w:t>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C">
            <w:pPr>
              <w:widowControl w:val="0"/>
              <w:spacing w:line="360" w:lineRule="auto"/>
              <w:rPr>
                <w:rFonts w:ascii="Times New Roman" w:cs="Times New Roman" w:eastAsia="Times New Roman" w:hAnsi="Times New Roman"/>
              </w:rPr>
            </w:pPr>
            <w:r w:rsidDel="00000000" w:rsidR="00000000" w:rsidRPr="00000000">
              <w:rPr>
                <w:rtl w:val="0"/>
              </w:rPr>
            </w:r>
          </w:p>
        </w:tc>
      </w:tr>
      <w:tr>
        <w:trPr>
          <w:cantSplit w:val="0"/>
          <w:trHeight w:val="315" w:hRule="atLeast"/>
          <w:tblHeader w:val="0"/>
        </w:trPr>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D">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CD27</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E">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Pharmingen APC-H7</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2F">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APC-H7</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0">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MT271</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1">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Biosciences</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2">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560222</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3">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4">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 μL</w:t>
            </w:r>
          </w:p>
        </w:tc>
      </w:tr>
      <w:tr>
        <w:trPr>
          <w:cantSplit w:val="0"/>
          <w:trHeight w:val="315" w:hRule="atLeast"/>
          <w:tblHeader w:val="0"/>
        </w:trPr>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5">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CD45RA</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6">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CD45RA PE-Cy7</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7">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PE-Cy7</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8">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L48</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9">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BD Biosciences</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A">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649457</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B">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C">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 μL</w:t>
            </w:r>
          </w:p>
        </w:tc>
      </w:tr>
      <w:tr>
        <w:trPr>
          <w:cantSplit w:val="0"/>
          <w:trHeight w:val="315" w:hRule="atLeast"/>
          <w:tblHeader w:val="0"/>
        </w:trPr>
        <w:tc>
          <w:tcPr>
            <w:tcBorders>
              <w:top w:color="000000" w:space="0" w:sz="0" w:val="nil"/>
              <w:left w:color="000000" w:space="0" w:sz="0" w:val="nil"/>
              <w:bottom w:color="000000" w:space="0" w:sz="5"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D">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CD69</w:t>
            </w:r>
          </w:p>
        </w:tc>
        <w:tc>
          <w:tcPr>
            <w:tcBorders>
              <w:top w:color="000000" w:space="0" w:sz="0" w:val="nil"/>
              <w:left w:color="000000" w:space="0" w:sz="0" w:val="nil"/>
              <w:bottom w:color="000000" w:space="0" w:sz="5"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E">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APC/Cyanine7 anti-human CD69 Antibody</w:t>
            </w:r>
          </w:p>
        </w:tc>
        <w:tc>
          <w:tcPr>
            <w:tcBorders>
              <w:top w:color="000000" w:space="0" w:sz="0" w:val="nil"/>
              <w:left w:color="000000" w:space="0" w:sz="0" w:val="nil"/>
              <w:bottom w:color="000000" w:space="0" w:sz="5"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3F">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APC-Cy7</w:t>
            </w:r>
          </w:p>
        </w:tc>
        <w:tc>
          <w:tcPr>
            <w:tcBorders>
              <w:top w:color="000000" w:space="0" w:sz="0" w:val="nil"/>
              <w:left w:color="000000" w:space="0" w:sz="0" w:val="nil"/>
              <w:bottom w:color="000000" w:space="0" w:sz="5"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40">
            <w:pPr>
              <w:widowControl w:val="0"/>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FN50</w:t>
            </w:r>
          </w:p>
        </w:tc>
        <w:tc>
          <w:tcPr>
            <w:tcBorders>
              <w:top w:color="000000" w:space="0" w:sz="0" w:val="nil"/>
              <w:left w:color="000000" w:space="0" w:sz="0" w:val="nil"/>
              <w:bottom w:color="000000" w:space="0" w:sz="5"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41">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BioLegend</w:t>
            </w:r>
          </w:p>
        </w:tc>
        <w:tc>
          <w:tcPr>
            <w:tcBorders>
              <w:top w:color="000000" w:space="0" w:sz="0" w:val="nil"/>
              <w:left w:color="000000" w:space="0" w:sz="0" w:val="nil"/>
              <w:bottom w:color="000000" w:space="0" w:sz="5"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42">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310913</w:t>
            </w:r>
          </w:p>
        </w:tc>
        <w:tc>
          <w:tcPr>
            <w:tcBorders>
              <w:top w:color="000000" w:space="0" w:sz="0" w:val="nil"/>
              <w:left w:color="000000" w:space="0" w:sz="0" w:val="nil"/>
              <w:bottom w:color="000000" w:space="0" w:sz="5"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43">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44">
            <w:pPr>
              <w:widowControl w:val="0"/>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 μL</w:t>
            </w:r>
          </w:p>
        </w:tc>
      </w:tr>
    </w:tbl>
    <w:p w:rsidR="00000000" w:rsidDel="00000000" w:rsidP="00000000" w:rsidRDefault="00000000" w:rsidRPr="00000000" w14:paraId="00000045">
      <w:pPr>
        <w:spacing w:line="36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36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360" w:lineRule="auto"/>
        <w:ind w:left="720"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Supplementary Table 1. </w:t>
      </w:r>
      <w:r w:rsidDel="00000000" w:rsidR="00000000" w:rsidRPr="00000000">
        <w:rPr>
          <w:rFonts w:ascii="Times New Roman" w:cs="Times New Roman" w:eastAsia="Times New Roman" w:hAnsi="Times New Roman"/>
          <w:rtl w:val="0"/>
        </w:rPr>
        <w:t xml:space="preserve">Reagents used for labeling in flow cytometry analyses. </w:t>
      </w:r>
    </w:p>
    <w:p w:rsidR="00000000" w:rsidDel="00000000" w:rsidP="00000000" w:rsidRDefault="00000000" w:rsidRPr="00000000" w14:paraId="00000048">
      <w:pPr>
        <w:spacing w:line="360" w:lineRule="auto"/>
        <w:jc w:val="both"/>
        <w:rPr>
          <w:rFonts w:ascii="Times New Roman" w:cs="Times New Roman" w:eastAsia="Times New Roman" w:hAnsi="Times New Roman"/>
          <w:sz w:val="20"/>
          <w:szCs w:val="20"/>
        </w:rPr>
        <w:sectPr>
          <w:pgSz w:h="11909" w:w="16834" w:orient="landscape"/>
          <w:pgMar w:bottom="1440.0000000000002" w:top="1440.0000000000002" w:left="1440.0000000000002" w:right="1440.0000000000002" w:header="720" w:footer="720"/>
          <w:pgNumType w:start="1"/>
        </w:sectPr>
      </w:pPr>
      <w:r w:rsidDel="00000000" w:rsidR="00000000" w:rsidRPr="00000000">
        <w:rPr>
          <w:rtl w:val="0"/>
        </w:rPr>
      </w:r>
    </w:p>
    <w:p w:rsidR="00000000" w:rsidDel="00000000" w:rsidP="00000000" w:rsidRDefault="00000000" w:rsidRPr="00000000" w14:paraId="00000049">
      <w:pPr>
        <w:spacing w:line="36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line="36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SUPPLEMENTARY MATERIAL 2: </w:t>
      </w:r>
    </w:p>
    <w:p w:rsidR="00000000" w:rsidDel="00000000" w:rsidP="00000000" w:rsidRDefault="00000000" w:rsidRPr="00000000" w14:paraId="0000004C">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spacing w:line="36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EuroFlow adapted protocol for surface marker staining</w:t>
      </w:r>
    </w:p>
    <w:p w:rsidR="00000000" w:rsidDel="00000000" w:rsidP="00000000" w:rsidRDefault="00000000" w:rsidRPr="00000000" w14:paraId="0000004E">
      <w:pPr>
        <w:spacing w:line="360" w:lineRule="auto"/>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4F">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surface marker staining protocol used in this study was adapted from the flow cytometry panel described in the study “</w:t>
      </w:r>
      <w:r w:rsidDel="00000000" w:rsidR="00000000" w:rsidRPr="00000000">
        <w:rPr>
          <w:rFonts w:ascii="Times New Roman" w:cs="Times New Roman" w:eastAsia="Times New Roman" w:hAnsi="Times New Roman"/>
          <w:i w:val="1"/>
          <w:iCs w:val="1"/>
          <w:rtl w:val="0"/>
        </w:rPr>
        <w:t xml:space="preserve">The EuroFlow PID Orientation Tube for Flow Cytometric Diagnostic Screening of Primary Immunodeficiencies of the Lymphoid System</w:t>
      </w:r>
      <w:r w:rsidDel="00000000" w:rsidR="00000000" w:rsidRPr="00000000">
        <w:rPr>
          <w:rFonts w:ascii="Times New Roman" w:cs="Times New Roman" w:eastAsia="Times New Roman" w:hAnsi="Times New Roman"/>
          <w:rtl w:val="0"/>
        </w:rPr>
        <w:t xml:space="preserve">”, as outlined below:</w:t>
      </w:r>
    </w:p>
    <w:p w:rsidR="00000000" w:rsidDel="00000000" w:rsidP="00000000" w:rsidRDefault="00000000" w:rsidRPr="00000000" w14:paraId="00000050">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incubation for 20–24 hours at 37°C with 5% CO</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rtl w:val="0"/>
        </w:rPr>
        <w:t xml:space="preserve"> in a humidified incubator, cells were harvested using the trypsinization protocol and collected into 1.5 mL microtubes. For each culture plate well, five cytometry tubes were prepared and labeled, as illustrated in Supplementary Figure 1. Additionally, an unstained tube was prepared for each study participant to adjust the cytometer voltage.</w:t>
      </w:r>
    </w:p>
    <w:p w:rsidR="00000000" w:rsidDel="00000000" w:rsidP="00000000" w:rsidRDefault="00000000" w:rsidRPr="00000000" w14:paraId="00000052">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4622800" cy="2119423"/>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4622800" cy="2119423"/>
                    </a:xfrm>
                    <a:prstGeom prst="rect"/>
                    <a:ln/>
                  </pic:spPr>
                </pic:pic>
              </a:graphicData>
            </a:graphic>
          </wp:inline>
        </w:drawing>
      </w:r>
      <w:r w:rsidDel="00000000" w:rsidR="00000000" w:rsidRPr="00000000">
        <w:rPr>
          <w:rtl w:val="0"/>
        </w:rPr>
      </w:r>
    </w:p>
    <w:p w:rsidR="00000000" w:rsidDel="00000000" w:rsidP="00000000" w:rsidRDefault="00000000" w:rsidRPr="00000000" w14:paraId="00000054">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Supplementary figure 1. </w:t>
      </w:r>
      <w:r w:rsidDel="00000000" w:rsidR="00000000" w:rsidRPr="00000000">
        <w:rPr>
          <w:rFonts w:ascii="Times New Roman" w:cs="Times New Roman" w:eastAsia="Times New Roman" w:hAnsi="Times New Roman"/>
          <w:rtl w:val="0"/>
        </w:rPr>
        <w:t xml:space="preserve">Representation of cytometry tubes with specific antibodies for each panel.</w:t>
      </w:r>
    </w:p>
    <w:p w:rsidR="00000000" w:rsidDel="00000000" w:rsidP="00000000" w:rsidRDefault="00000000" w:rsidRPr="00000000" w14:paraId="00000055">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cell-containing microtubes were centrifuged at 3,000 RPM for 5 minutes, and the supernatant was discarded. The cell pellet was resuspended in 100 µL of PBS—50 µL was transferred to tube 1, and 50 µL to tube 2. In tube 1, 5 µL of the multitest (CD 45/3/8/4) and 2.5 µL of CD27 and CD45RA were added. In tube 2, 5 µL of the multitest (CD 45/3/8/4) and 2.5 µL of CD27 and CD45RA were added, followed by gentle vortexing. In tube 3, only 5 µL of the multitest (CD 45/3/8/4) was added, along with 50 µL of cells from the PHA-M well plate culture. The remaining 50 µL was used for the unstained control tube.</w:t>
      </w:r>
    </w:p>
    <w:p w:rsidR="00000000" w:rsidDel="00000000" w:rsidP="00000000" w:rsidRDefault="00000000" w:rsidRPr="00000000" w14:paraId="00000057">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Tubes were incubated for 30 minutes at room temperature, protected from light. Following this, 500 µL of  FACSLysing (already diluted 1:10) was added, gently vortexed, and incubated for 10 minutes at room temperature, protected from light.</w:t>
      </w:r>
    </w:p>
    <w:p w:rsidR="00000000" w:rsidDel="00000000" w:rsidP="00000000" w:rsidRDefault="00000000" w:rsidRPr="00000000" w14:paraId="00000059">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Subsequently, the tubes were centrifuged for 5 minutes at 540 g, and the supernatant was carefully discarded, leaving approximately 50 µL at the bottom. It is essential to handle this step carefully to avoid losing cells.</w:t>
      </w:r>
    </w:p>
    <w:p w:rsidR="00000000" w:rsidDel="00000000" w:rsidP="00000000" w:rsidRDefault="00000000" w:rsidRPr="00000000" w14:paraId="0000005B">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Afterwards, 2 mL of PBS was added, gently vortexed, and centrifuged for 5 min at 540 g. The supernatant was carefully discarded, leaving approximately 50 µL at the bottom. Tubes were gently vortexed, and 500 uL of FACSFlow was added. A minimum of 10,000 events must be acquired to ensure a sufficient number of events in lymphocyte gate.</w:t>
      </w:r>
    </w:p>
    <w:p w:rsidR="00000000" w:rsidDel="00000000" w:rsidP="00000000" w:rsidRDefault="00000000" w:rsidRPr="00000000" w14:paraId="0000005D">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sectPr>
      <w:type w:val="nextPage"/>
      <w:pgSz w:h="16834"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